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02" w:rsidRPr="00945E75" w:rsidRDefault="00673F02" w:rsidP="00673F02">
      <w:pPr>
        <w:pStyle w:val="a3"/>
        <w:jc w:val="center"/>
        <w:rPr>
          <w:b/>
          <w:sz w:val="30"/>
          <w:szCs w:val="30"/>
        </w:rPr>
      </w:pPr>
      <w:bookmarkStart w:id="0" w:name="_GoBack"/>
      <w:r w:rsidRPr="005922C3">
        <w:rPr>
          <w:b/>
          <w:color w:val="000000"/>
          <w:spacing w:val="-8"/>
          <w:sz w:val="30"/>
          <w:szCs w:val="30"/>
        </w:rPr>
        <w:t>Кадастровая оценка земель, земельных участков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</w:t>
      </w:r>
    </w:p>
    <w:bookmarkEnd w:id="0"/>
    <w:p w:rsidR="00673F02" w:rsidRPr="00945E75" w:rsidRDefault="00673F02" w:rsidP="00673F02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proofErr w:type="gramStart"/>
      <w:r w:rsidRPr="00945E75">
        <w:rPr>
          <w:color w:val="000000"/>
          <w:spacing w:val="-8"/>
          <w:sz w:val="30"/>
          <w:szCs w:val="30"/>
        </w:rPr>
        <w:t>В период с января 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года по апрель 202</w:t>
      </w:r>
      <w:r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01.07.202</w:t>
      </w:r>
      <w:r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  <w:proofErr w:type="gramEnd"/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673F02" w:rsidRPr="00D04B2B" w:rsidRDefault="00673F02" w:rsidP="00673F02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5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673F02" w:rsidRPr="005922C3" w:rsidRDefault="00673F02" w:rsidP="00673F02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1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673F02" w:rsidRPr="006E1B36" w:rsidTr="00644D70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gramStart"/>
            <w:r w:rsidRPr="006E1B36">
              <w:rPr>
                <w:color w:val="000000"/>
              </w:rPr>
              <w:t>п</w:t>
            </w:r>
            <w:proofErr w:type="gramEnd"/>
            <w:r w:rsidRPr="006E1B36">
              <w:rPr>
                <w:color w:val="00000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673F02" w:rsidRPr="006E1B36" w:rsidTr="00644D70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02" w:rsidRPr="006E1B36" w:rsidRDefault="00673F02" w:rsidP="00644D7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03.09.2025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F02" w:rsidRPr="006E1B36" w:rsidRDefault="00673F02" w:rsidP="00644D7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7774</w:t>
            </w:r>
          </w:p>
        </w:tc>
      </w:tr>
    </w:tbl>
    <w:p w:rsidR="00673F02" w:rsidRPr="00F83122" w:rsidRDefault="00673F02" w:rsidP="00673F0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673F02" w:rsidRPr="005922C3" w:rsidRDefault="00673F02" w:rsidP="00673F02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673F02" w:rsidRPr="006E1B36" w:rsidTr="00644D70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gramStart"/>
            <w:r w:rsidRPr="006E1B36">
              <w:rPr>
                <w:color w:val="000000"/>
              </w:rPr>
              <w:t>п</w:t>
            </w:r>
            <w:proofErr w:type="gramEnd"/>
            <w:r w:rsidRPr="006E1B36">
              <w:rPr>
                <w:color w:val="00000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673F02" w:rsidRPr="006E1B36" w:rsidTr="00644D70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02" w:rsidRPr="006E1B36" w:rsidRDefault="00673F02" w:rsidP="00644D70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02" w:rsidRPr="006E1B36" w:rsidRDefault="00673F02" w:rsidP="00644D70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03.09.2025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F02" w:rsidRPr="006E1B36" w:rsidRDefault="00673F02" w:rsidP="00644D70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7775</w:t>
            </w:r>
          </w:p>
        </w:tc>
      </w:tr>
    </w:tbl>
    <w:p w:rsidR="00673F02" w:rsidRDefault="00673F02" w:rsidP="00673F0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1"/>
    <w:p w:rsidR="00673F02" w:rsidRPr="00945E75" w:rsidRDefault="00673F02" w:rsidP="00673F02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proofErr w:type="gramStart"/>
      <w:r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 xml:space="preserve">; решение </w:t>
      </w:r>
      <w:bookmarkStart w:id="2" w:name="solutionName2"/>
      <w:bookmarkEnd w:id="2"/>
      <w:proofErr w:type="spellStart"/>
      <w:r>
        <w:rPr>
          <w:sz w:val="30"/>
          <w:szCs w:val="30"/>
        </w:rPr>
        <w:t>Берестовицкого</w:t>
      </w:r>
      <w:proofErr w:type="spellEnd"/>
      <w:r>
        <w:rPr>
          <w:sz w:val="30"/>
          <w:szCs w:val="30"/>
        </w:rPr>
        <w:t xml:space="preserve"> районного исполнительного комитета от 23.05.2025 № 255 ”О результатах кадастровой оценки земель, земельных участков“; решение </w:t>
      </w:r>
      <w:proofErr w:type="spellStart"/>
      <w:r>
        <w:rPr>
          <w:sz w:val="30"/>
          <w:szCs w:val="30"/>
        </w:rPr>
        <w:t>Берестовицкого</w:t>
      </w:r>
      <w:proofErr w:type="spellEnd"/>
      <w:r>
        <w:rPr>
          <w:sz w:val="30"/>
          <w:szCs w:val="30"/>
        </w:rPr>
        <w:t xml:space="preserve"> районного исполнительного комитета от 25.07.2025 № 397 ”Об изменении решения </w:t>
      </w:r>
      <w:proofErr w:type="spellStart"/>
      <w:r>
        <w:rPr>
          <w:sz w:val="30"/>
          <w:szCs w:val="30"/>
        </w:rPr>
        <w:t>Берестовицкого</w:t>
      </w:r>
      <w:proofErr w:type="spellEnd"/>
      <w:r>
        <w:rPr>
          <w:sz w:val="30"/>
          <w:szCs w:val="30"/>
        </w:rPr>
        <w:t xml:space="preserve"> районного исполнительного комитета от 23 мая 2025 г. № 255“</w:t>
      </w:r>
      <w:r w:rsidRPr="00945E75">
        <w:rPr>
          <w:sz w:val="30"/>
          <w:szCs w:val="30"/>
        </w:rPr>
        <w:t>.</w:t>
      </w:r>
      <w:proofErr w:type="gramEnd"/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</w:t>
      </w:r>
      <w:proofErr w:type="gramStart"/>
      <w:r w:rsidRPr="00945E75">
        <w:rPr>
          <w:color w:val="000000"/>
          <w:spacing w:val="-8"/>
          <w:sz w:val="30"/>
          <w:szCs w:val="30"/>
        </w:rPr>
        <w:t>м(</w:t>
      </w:r>
      <w:proofErr w:type="spellStart"/>
      <w:proofErr w:type="gramEnd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6" w:history="1">
        <w:r w:rsidRPr="00945E75">
          <w:rPr>
            <w:rStyle w:val="a5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5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5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5"/>
            <w:b/>
            <w:spacing w:val="-8"/>
            <w:sz w:val="30"/>
            <w:szCs w:val="30"/>
          </w:rPr>
          <w:t>.</w:t>
        </w:r>
        <w:r w:rsidRPr="00945E75">
          <w:rPr>
            <w:rStyle w:val="a5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673F02" w:rsidRPr="00945E75" w:rsidRDefault="00673F02" w:rsidP="00673F02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202</w:t>
      </w:r>
      <w:r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внесенные в регистр стоимости до 1 января 202</w:t>
      </w:r>
      <w:r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673F02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>
        <w:rPr>
          <w:color w:val="000000"/>
          <w:spacing w:val="-8"/>
          <w:sz w:val="30"/>
          <w:szCs w:val="30"/>
        </w:rPr>
        <w:t>;</w:t>
      </w:r>
    </w:p>
    <w:p w:rsidR="00673F02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673F02" w:rsidRPr="00945E75" w:rsidRDefault="00673F02" w:rsidP="00673F02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t>Порядок обжалования кадастровой стоимости</w:t>
      </w: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месяцев </w:t>
      </w:r>
      <w:proofErr w:type="gramStart"/>
      <w:r w:rsidRPr="00945E75">
        <w:rPr>
          <w:b/>
          <w:color w:val="000000"/>
          <w:spacing w:val="-8"/>
          <w:sz w:val="30"/>
          <w:szCs w:val="30"/>
          <w:u w:val="single"/>
        </w:rPr>
        <w:t>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lastRenderedPageBreak/>
        <w:t xml:space="preserve">Обжалование результатов кадастровой оценки регулируется п. 17 </w:t>
      </w:r>
      <w:r w:rsidRPr="00FB18E4">
        <w:rPr>
          <w:color w:val="000000"/>
          <w:spacing w:val="-8"/>
          <w:sz w:val="30"/>
          <w:szCs w:val="30"/>
        </w:rPr>
        <w:br/>
        <w:t>ТКП 52.2.07-2018 ”Оценка стоимости земельных участков“.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>13 октября 2006 года ”Об оценочной деятельности в Республике Беларусь“).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673F02" w:rsidRPr="00945E75" w:rsidRDefault="00673F02" w:rsidP="00673F02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673F02" w:rsidRPr="00945E75" w:rsidRDefault="00673F02" w:rsidP="00673F02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065E4B" w:rsidRDefault="00673F02" w:rsidP="00673F02">
      <w:r w:rsidRPr="00945E75">
        <w:rPr>
          <w:color w:val="000000"/>
          <w:spacing w:val="-8"/>
          <w:sz w:val="30"/>
          <w:szCs w:val="30"/>
        </w:rPr>
        <w:tab/>
        <w:t>В случае</w:t>
      </w:r>
      <w:proofErr w:type="gramStart"/>
      <w:r w:rsidRPr="00945E75">
        <w:rPr>
          <w:color w:val="000000"/>
          <w:spacing w:val="-8"/>
          <w:sz w:val="30"/>
          <w:szCs w:val="30"/>
        </w:rPr>
        <w:t>,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945E75">
        <w:rPr>
          <w:color w:val="000000"/>
          <w:spacing w:val="-8"/>
          <w:sz w:val="30"/>
          <w:szCs w:val="30"/>
        </w:rPr>
        <w:t>которая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</w:t>
      </w:r>
    </w:p>
    <w:sectPr w:rsidR="0006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02"/>
    <w:rsid w:val="00030622"/>
    <w:rsid w:val="00046F8D"/>
    <w:rsid w:val="00053496"/>
    <w:rsid w:val="00065E4B"/>
    <w:rsid w:val="0007497B"/>
    <w:rsid w:val="00080AEE"/>
    <w:rsid w:val="00094F28"/>
    <w:rsid w:val="000E3B0C"/>
    <w:rsid w:val="000E6B8B"/>
    <w:rsid w:val="000E6FBF"/>
    <w:rsid w:val="00135E4A"/>
    <w:rsid w:val="00164797"/>
    <w:rsid w:val="001A45C9"/>
    <w:rsid w:val="001D3DD2"/>
    <w:rsid w:val="001D748D"/>
    <w:rsid w:val="0021584B"/>
    <w:rsid w:val="0024763E"/>
    <w:rsid w:val="002505F6"/>
    <w:rsid w:val="0027231C"/>
    <w:rsid w:val="00286538"/>
    <w:rsid w:val="00291AF5"/>
    <w:rsid w:val="00292F14"/>
    <w:rsid w:val="00293518"/>
    <w:rsid w:val="0029777B"/>
    <w:rsid w:val="002A73F2"/>
    <w:rsid w:val="002C6B2F"/>
    <w:rsid w:val="002D2486"/>
    <w:rsid w:val="002D5A91"/>
    <w:rsid w:val="002E3B6F"/>
    <w:rsid w:val="003158BB"/>
    <w:rsid w:val="00320C48"/>
    <w:rsid w:val="00324FB2"/>
    <w:rsid w:val="003278E1"/>
    <w:rsid w:val="003D0A55"/>
    <w:rsid w:val="004238B6"/>
    <w:rsid w:val="0043113F"/>
    <w:rsid w:val="00442E20"/>
    <w:rsid w:val="00480E7E"/>
    <w:rsid w:val="004A1A7E"/>
    <w:rsid w:val="004B316E"/>
    <w:rsid w:val="004D0216"/>
    <w:rsid w:val="004E0BDD"/>
    <w:rsid w:val="004F4859"/>
    <w:rsid w:val="00510565"/>
    <w:rsid w:val="00514FD6"/>
    <w:rsid w:val="0051717F"/>
    <w:rsid w:val="0053232B"/>
    <w:rsid w:val="00562B24"/>
    <w:rsid w:val="00570A21"/>
    <w:rsid w:val="00580758"/>
    <w:rsid w:val="0059213A"/>
    <w:rsid w:val="00595B03"/>
    <w:rsid w:val="005A7258"/>
    <w:rsid w:val="005D2F85"/>
    <w:rsid w:val="005D640F"/>
    <w:rsid w:val="005D786F"/>
    <w:rsid w:val="00613DB4"/>
    <w:rsid w:val="00624931"/>
    <w:rsid w:val="006518C6"/>
    <w:rsid w:val="00666BC0"/>
    <w:rsid w:val="00673F02"/>
    <w:rsid w:val="006866F4"/>
    <w:rsid w:val="006A0428"/>
    <w:rsid w:val="006A4C4F"/>
    <w:rsid w:val="006A5B2A"/>
    <w:rsid w:val="006A7B4E"/>
    <w:rsid w:val="006D7169"/>
    <w:rsid w:val="006E72DA"/>
    <w:rsid w:val="00723F2E"/>
    <w:rsid w:val="00740F99"/>
    <w:rsid w:val="007A0051"/>
    <w:rsid w:val="007A07D0"/>
    <w:rsid w:val="007C3AAE"/>
    <w:rsid w:val="007D4432"/>
    <w:rsid w:val="007E2591"/>
    <w:rsid w:val="00810A23"/>
    <w:rsid w:val="00811106"/>
    <w:rsid w:val="0081213C"/>
    <w:rsid w:val="0083095F"/>
    <w:rsid w:val="00837425"/>
    <w:rsid w:val="00841DD7"/>
    <w:rsid w:val="00845760"/>
    <w:rsid w:val="00852C4F"/>
    <w:rsid w:val="00855C00"/>
    <w:rsid w:val="00856EBD"/>
    <w:rsid w:val="00867123"/>
    <w:rsid w:val="00867E64"/>
    <w:rsid w:val="00887C2F"/>
    <w:rsid w:val="00890231"/>
    <w:rsid w:val="008A6B31"/>
    <w:rsid w:val="008D251C"/>
    <w:rsid w:val="008E2AFE"/>
    <w:rsid w:val="008E4D41"/>
    <w:rsid w:val="008F66FD"/>
    <w:rsid w:val="00915A17"/>
    <w:rsid w:val="00926203"/>
    <w:rsid w:val="00934A97"/>
    <w:rsid w:val="00946712"/>
    <w:rsid w:val="0095176E"/>
    <w:rsid w:val="00973CB2"/>
    <w:rsid w:val="009842DC"/>
    <w:rsid w:val="009A1235"/>
    <w:rsid w:val="009B5449"/>
    <w:rsid w:val="009C5DB6"/>
    <w:rsid w:val="009D1EF3"/>
    <w:rsid w:val="00A20E06"/>
    <w:rsid w:val="00A3735F"/>
    <w:rsid w:val="00A45C78"/>
    <w:rsid w:val="00A5540D"/>
    <w:rsid w:val="00A75352"/>
    <w:rsid w:val="00A7608D"/>
    <w:rsid w:val="00A902EC"/>
    <w:rsid w:val="00A95757"/>
    <w:rsid w:val="00AE241B"/>
    <w:rsid w:val="00AE29BC"/>
    <w:rsid w:val="00AE507C"/>
    <w:rsid w:val="00B26358"/>
    <w:rsid w:val="00B311F1"/>
    <w:rsid w:val="00B33067"/>
    <w:rsid w:val="00B439A8"/>
    <w:rsid w:val="00B52028"/>
    <w:rsid w:val="00B56476"/>
    <w:rsid w:val="00B61701"/>
    <w:rsid w:val="00B72FE1"/>
    <w:rsid w:val="00B92CF9"/>
    <w:rsid w:val="00BB0388"/>
    <w:rsid w:val="00C00740"/>
    <w:rsid w:val="00C272AB"/>
    <w:rsid w:val="00C3727C"/>
    <w:rsid w:val="00C802CD"/>
    <w:rsid w:val="00C8536D"/>
    <w:rsid w:val="00C856D4"/>
    <w:rsid w:val="00C9022A"/>
    <w:rsid w:val="00C96976"/>
    <w:rsid w:val="00CB4A7B"/>
    <w:rsid w:val="00CE0E13"/>
    <w:rsid w:val="00D00733"/>
    <w:rsid w:val="00D06876"/>
    <w:rsid w:val="00D26488"/>
    <w:rsid w:val="00D463A3"/>
    <w:rsid w:val="00D46B2E"/>
    <w:rsid w:val="00D55F58"/>
    <w:rsid w:val="00D75604"/>
    <w:rsid w:val="00D858BB"/>
    <w:rsid w:val="00DC15F4"/>
    <w:rsid w:val="00DE730F"/>
    <w:rsid w:val="00E20558"/>
    <w:rsid w:val="00E23C2A"/>
    <w:rsid w:val="00E3776B"/>
    <w:rsid w:val="00E44C4C"/>
    <w:rsid w:val="00E50723"/>
    <w:rsid w:val="00E644A9"/>
    <w:rsid w:val="00E7362C"/>
    <w:rsid w:val="00E87B76"/>
    <w:rsid w:val="00EA006E"/>
    <w:rsid w:val="00EB4B2B"/>
    <w:rsid w:val="00EF2991"/>
    <w:rsid w:val="00F15FDB"/>
    <w:rsid w:val="00F3152F"/>
    <w:rsid w:val="00F37257"/>
    <w:rsid w:val="00F43BFF"/>
    <w:rsid w:val="00F73656"/>
    <w:rsid w:val="00F75468"/>
    <w:rsid w:val="00F80B50"/>
    <w:rsid w:val="00F921CE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3F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73F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3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73F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3F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73F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3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73F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" TargetMode="External"/><Relationship Id="rId5" Type="http://schemas.openxmlformats.org/officeDocument/2006/relationships/hyperlink" Target="http://www.vl.nc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</dc:creator>
  <cp:lastModifiedBy>Старший инспектор</cp:lastModifiedBy>
  <cp:revision>1</cp:revision>
  <dcterms:created xsi:type="dcterms:W3CDTF">2025-09-05T11:27:00Z</dcterms:created>
  <dcterms:modified xsi:type="dcterms:W3CDTF">2025-09-05T11:30:00Z</dcterms:modified>
</cp:coreProperties>
</file>